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58" w:type="dxa"/>
        <w:tblLayout w:type="fixed"/>
        <w:tblCellMar>
          <w:left w:w="70" w:type="dxa"/>
          <w:right w:w="70" w:type="dxa"/>
        </w:tblCellMar>
        <w:tblLook w:val="0000" w:firstRow="0" w:lastRow="0" w:firstColumn="0" w:lastColumn="0" w:noHBand="0" w:noVBand="0"/>
      </w:tblPr>
      <w:tblGrid>
        <w:gridCol w:w="9258"/>
      </w:tblGrid>
      <w:tr w:rsidR="00B228E5" w:rsidRPr="000E323E" w:rsidTr="004B2390">
        <w:tblPrEx>
          <w:tblCellMar>
            <w:top w:w="0" w:type="dxa"/>
            <w:bottom w:w="0" w:type="dxa"/>
          </w:tblCellMar>
        </w:tblPrEx>
        <w:trPr>
          <w:trHeight w:val="3135"/>
        </w:trPr>
        <w:tc>
          <w:tcPr>
            <w:tcW w:w="9258" w:type="dxa"/>
          </w:tcPr>
          <w:p w:rsidR="00B228E5" w:rsidRPr="00A9169B" w:rsidRDefault="00B228E5" w:rsidP="004B2390">
            <w:pPr>
              <w:overflowPunct w:val="0"/>
              <w:autoSpaceDE w:val="0"/>
              <w:autoSpaceDN w:val="0"/>
              <w:adjustRightInd w:val="0"/>
              <w:jc w:val="center"/>
              <w:rPr>
                <w:sz w:val="20"/>
                <w:szCs w:val="20"/>
              </w:rPr>
            </w:pPr>
            <w:r>
              <w:rPr>
                <w:b/>
                <w:noProof/>
                <w:sz w:val="22"/>
                <w:szCs w:val="22"/>
              </w:rPr>
              <w:drawing>
                <wp:inline distT="0" distB="0" distL="0" distR="0">
                  <wp:extent cx="561975" cy="571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61975" cy="571500"/>
                          </a:xfrm>
                          <a:prstGeom prst="rect">
                            <a:avLst/>
                          </a:prstGeom>
                          <a:noFill/>
                          <a:ln>
                            <a:noFill/>
                          </a:ln>
                        </pic:spPr>
                      </pic:pic>
                    </a:graphicData>
                  </a:graphic>
                </wp:inline>
              </w:drawing>
            </w:r>
          </w:p>
          <w:p w:rsidR="00B228E5" w:rsidRPr="00A9169B" w:rsidRDefault="00B228E5" w:rsidP="004B2390">
            <w:pPr>
              <w:overflowPunct w:val="0"/>
              <w:autoSpaceDE w:val="0"/>
              <w:autoSpaceDN w:val="0"/>
              <w:adjustRightInd w:val="0"/>
              <w:ind w:right="485"/>
              <w:jc w:val="center"/>
              <w:rPr>
                <w:b/>
                <w:sz w:val="20"/>
                <w:szCs w:val="20"/>
              </w:rPr>
            </w:pPr>
            <w:r w:rsidRPr="00A9169B">
              <w:rPr>
                <w:b/>
                <w:sz w:val="20"/>
                <w:szCs w:val="20"/>
              </w:rPr>
              <w:t xml:space="preserve">«ВЫЛЫН </w:t>
            </w:r>
            <w:proofErr w:type="gramStart"/>
            <w:r>
              <w:rPr>
                <w:b/>
                <w:sz w:val="20"/>
                <w:szCs w:val="20"/>
              </w:rPr>
              <w:t>-</w:t>
            </w:r>
            <w:r w:rsidRPr="00A9169B">
              <w:rPr>
                <w:b/>
                <w:sz w:val="20"/>
                <w:szCs w:val="20"/>
              </w:rPr>
              <w:t>У</w:t>
            </w:r>
            <w:proofErr w:type="gramEnd"/>
            <w:r w:rsidRPr="00A9169B">
              <w:rPr>
                <w:b/>
                <w:sz w:val="20"/>
                <w:szCs w:val="20"/>
              </w:rPr>
              <w:t>НИ» МУНИЦИПАЛ КЫЛДЫТЭТЛЭН АДМИНИСТРАЦИЕЗ</w:t>
            </w:r>
          </w:p>
          <w:p w:rsidR="00B228E5" w:rsidRPr="00A9169B" w:rsidRDefault="00B228E5" w:rsidP="004B2390">
            <w:pPr>
              <w:overflowPunct w:val="0"/>
              <w:autoSpaceDE w:val="0"/>
              <w:autoSpaceDN w:val="0"/>
              <w:adjustRightInd w:val="0"/>
              <w:ind w:right="485" w:firstLine="540"/>
              <w:jc w:val="center"/>
              <w:rPr>
                <w:b/>
                <w:sz w:val="20"/>
                <w:szCs w:val="20"/>
              </w:rPr>
            </w:pPr>
            <w:r w:rsidRPr="00A9169B">
              <w:rPr>
                <w:b/>
                <w:sz w:val="20"/>
                <w:szCs w:val="20"/>
              </w:rPr>
              <w:t xml:space="preserve">АДМИНИСТРАЦИЯ МУНИЦИПАЛЬНОГО ОБРАЗОВАНИЯ «ВЕРХ-УНИНСКОЕ»  </w:t>
            </w:r>
          </w:p>
          <w:p w:rsidR="00B228E5" w:rsidRPr="000E323E" w:rsidRDefault="00B228E5" w:rsidP="004B2390">
            <w:pPr>
              <w:jc w:val="center"/>
              <w:rPr>
                <w:b/>
                <w:sz w:val="22"/>
                <w:szCs w:val="20"/>
              </w:rPr>
            </w:pPr>
          </w:p>
          <w:p w:rsidR="00B228E5" w:rsidRPr="000E323E" w:rsidRDefault="00B228E5" w:rsidP="004B2390">
            <w:pPr>
              <w:jc w:val="center"/>
              <w:rPr>
                <w:b/>
                <w:szCs w:val="20"/>
              </w:rPr>
            </w:pPr>
            <w:proofErr w:type="gramStart"/>
            <w:r w:rsidRPr="003C78C3">
              <w:rPr>
                <w:b/>
                <w:sz w:val="22"/>
                <w:szCs w:val="22"/>
              </w:rPr>
              <w:t>П</w:t>
            </w:r>
            <w:proofErr w:type="gramEnd"/>
            <w:r w:rsidRPr="003C78C3">
              <w:rPr>
                <w:b/>
                <w:sz w:val="22"/>
                <w:szCs w:val="22"/>
              </w:rPr>
              <w:t xml:space="preserve"> О С Т А Н О В Л Е Н И</w:t>
            </w:r>
            <w:r w:rsidRPr="000E323E">
              <w:rPr>
                <w:b/>
                <w:szCs w:val="20"/>
              </w:rPr>
              <w:t xml:space="preserve"> Е</w:t>
            </w:r>
          </w:p>
          <w:p w:rsidR="00B228E5" w:rsidRPr="000E323E" w:rsidRDefault="00B228E5" w:rsidP="004B2390">
            <w:pPr>
              <w:jc w:val="center"/>
              <w:rPr>
                <w:b/>
                <w:szCs w:val="20"/>
              </w:rPr>
            </w:pPr>
          </w:p>
          <w:p w:rsidR="00B228E5" w:rsidRPr="000E323E" w:rsidRDefault="00B228E5" w:rsidP="004B2390">
            <w:pPr>
              <w:jc w:val="both"/>
              <w:rPr>
                <w:b/>
                <w:sz w:val="22"/>
                <w:szCs w:val="20"/>
              </w:rPr>
            </w:pPr>
            <w:r w:rsidRPr="000E323E">
              <w:rPr>
                <w:b/>
                <w:sz w:val="22"/>
                <w:szCs w:val="20"/>
              </w:rPr>
              <w:t xml:space="preserve">       30 августа  2013 г.                                                                                         № </w:t>
            </w:r>
            <w:r>
              <w:rPr>
                <w:b/>
                <w:sz w:val="22"/>
                <w:szCs w:val="20"/>
              </w:rPr>
              <w:t>35</w:t>
            </w:r>
          </w:p>
          <w:p w:rsidR="00B228E5" w:rsidRPr="000E323E" w:rsidRDefault="00B228E5" w:rsidP="004B2390">
            <w:pPr>
              <w:jc w:val="center"/>
              <w:rPr>
                <w:b/>
                <w:sz w:val="20"/>
                <w:szCs w:val="20"/>
              </w:rPr>
            </w:pPr>
          </w:p>
          <w:p w:rsidR="00B228E5" w:rsidRPr="000E323E" w:rsidRDefault="00B228E5" w:rsidP="004B2390">
            <w:pPr>
              <w:jc w:val="center"/>
              <w:rPr>
                <w:sz w:val="20"/>
                <w:szCs w:val="20"/>
              </w:rPr>
            </w:pPr>
            <w:r w:rsidRPr="000E323E">
              <w:rPr>
                <w:b/>
                <w:sz w:val="20"/>
                <w:szCs w:val="20"/>
              </w:rPr>
              <w:t>с. Верх-Уни</w:t>
            </w:r>
          </w:p>
        </w:tc>
      </w:tr>
    </w:tbl>
    <w:p w:rsidR="00B228E5" w:rsidRPr="000E323E" w:rsidRDefault="00B228E5" w:rsidP="00B228E5">
      <w:pPr>
        <w:keepNext/>
        <w:jc w:val="both"/>
        <w:outlineLvl w:val="2"/>
      </w:pPr>
      <w:r w:rsidRPr="000E323E">
        <w:t>О приеме  объектов движимого имущества</w:t>
      </w:r>
    </w:p>
    <w:p w:rsidR="00B228E5" w:rsidRPr="000E323E" w:rsidRDefault="00B228E5" w:rsidP="00B228E5">
      <w:pPr>
        <w:keepNext/>
        <w:jc w:val="both"/>
        <w:outlineLvl w:val="2"/>
      </w:pPr>
      <w:r w:rsidRPr="000E323E">
        <w:t>в собственность муниципального образования</w:t>
      </w:r>
    </w:p>
    <w:p w:rsidR="00B228E5" w:rsidRPr="000E323E" w:rsidRDefault="00B228E5" w:rsidP="00B228E5">
      <w:pPr>
        <w:keepNext/>
        <w:jc w:val="both"/>
        <w:outlineLvl w:val="2"/>
      </w:pPr>
      <w:r w:rsidRPr="000E323E">
        <w:t xml:space="preserve">«Верх-Унинское» </w:t>
      </w:r>
    </w:p>
    <w:p w:rsidR="00B228E5" w:rsidRPr="000E323E" w:rsidRDefault="00B228E5" w:rsidP="00B228E5">
      <w:pPr>
        <w:jc w:val="both"/>
        <w:rPr>
          <w:lang w:val="x-none" w:eastAsia="x-none"/>
        </w:rPr>
      </w:pPr>
    </w:p>
    <w:p w:rsidR="00B228E5" w:rsidRPr="000E323E" w:rsidRDefault="00B228E5" w:rsidP="00B228E5">
      <w:pPr>
        <w:jc w:val="both"/>
        <w:rPr>
          <w:b/>
        </w:rPr>
      </w:pPr>
      <w:r w:rsidRPr="000E323E">
        <w:t xml:space="preserve">                На основании Распоряжения Министерства имущественных отношений Удмуртской Республики от 13 августа 2013 года № 1197-р «О передаче из состава имущества казны Удмуртской Республики в собственность муниципального образования «Верх-Унинское» движимого имущества», Уставом муниципального образования «Верх-Унинское», утвержденным решением Совета депутатов МО «Верх-Унинское» от 29 ноября 2005 г.,  Администрация муниципального образования «Верх-Унинское</w:t>
      </w:r>
      <w:r w:rsidRPr="000E323E">
        <w:rPr>
          <w:b/>
        </w:rPr>
        <w:t xml:space="preserve">»  </w:t>
      </w:r>
    </w:p>
    <w:p w:rsidR="00B228E5" w:rsidRPr="000E323E" w:rsidRDefault="00B228E5" w:rsidP="00B228E5">
      <w:pPr>
        <w:jc w:val="center"/>
        <w:rPr>
          <w:b/>
        </w:rPr>
      </w:pPr>
      <w:proofErr w:type="gramStart"/>
      <w:r w:rsidRPr="000E323E">
        <w:rPr>
          <w:b/>
        </w:rPr>
        <w:t>п</w:t>
      </w:r>
      <w:proofErr w:type="gramEnd"/>
      <w:r w:rsidRPr="000E323E">
        <w:rPr>
          <w:b/>
        </w:rPr>
        <w:t xml:space="preserve"> о с т а н о в л я е т:</w:t>
      </w:r>
    </w:p>
    <w:p w:rsidR="00B228E5" w:rsidRPr="000E323E" w:rsidRDefault="00B228E5" w:rsidP="00B228E5"/>
    <w:p w:rsidR="00B228E5" w:rsidRPr="000E323E" w:rsidRDefault="00B228E5" w:rsidP="00B228E5">
      <w:pPr>
        <w:numPr>
          <w:ilvl w:val="0"/>
          <w:numId w:val="1"/>
        </w:numPr>
        <w:spacing w:after="200" w:line="276" w:lineRule="auto"/>
        <w:contextualSpacing/>
        <w:jc w:val="both"/>
        <w:rPr>
          <w:rFonts w:eastAsia="Calibri"/>
          <w:lang w:eastAsia="en-US"/>
        </w:rPr>
      </w:pPr>
      <w:r w:rsidRPr="000E323E">
        <w:rPr>
          <w:rFonts w:eastAsia="Calibri"/>
          <w:lang w:eastAsia="en-US"/>
        </w:rPr>
        <w:t>Принять безвозмездно из состава имущества казны Удмуртской Республики в собственность муниципального образования «Верх-Унинское» на баланс администрации муниципального образования «Верх-Унинское» объекты движимого имущества в количестве:</w:t>
      </w:r>
    </w:p>
    <w:p w:rsidR="00B228E5" w:rsidRPr="000E323E" w:rsidRDefault="00B228E5" w:rsidP="00B228E5">
      <w:pPr>
        <w:spacing w:after="200" w:line="276" w:lineRule="auto"/>
        <w:ind w:left="360"/>
        <w:contextualSpacing/>
        <w:jc w:val="both"/>
        <w:rPr>
          <w:rFonts w:eastAsia="Calibri"/>
          <w:lang w:eastAsia="en-US"/>
        </w:rPr>
      </w:pPr>
      <w:r w:rsidRPr="00F70685">
        <w:rPr>
          <w:rFonts w:eastAsia="Calibri"/>
          <w:b/>
          <w:lang w:eastAsia="en-US"/>
        </w:rPr>
        <w:t>- 2 единицы</w:t>
      </w:r>
      <w:r w:rsidRPr="000E323E">
        <w:rPr>
          <w:rFonts w:eastAsia="Calibri"/>
          <w:lang w:eastAsia="en-US"/>
        </w:rPr>
        <w:t xml:space="preserve">, суммарной первоначальной балансовой стоимостью 32346,50 (Тридцать две тысячи триста сорок шесть) рублей 50 копеек, согласно приложению к настоящему постановлению. </w:t>
      </w:r>
    </w:p>
    <w:p w:rsidR="00B228E5" w:rsidRPr="000E323E" w:rsidRDefault="00B228E5" w:rsidP="00B228E5">
      <w:pPr>
        <w:numPr>
          <w:ilvl w:val="0"/>
          <w:numId w:val="1"/>
        </w:numPr>
        <w:spacing w:after="200" w:line="276" w:lineRule="auto"/>
        <w:contextualSpacing/>
        <w:jc w:val="both"/>
        <w:rPr>
          <w:rFonts w:eastAsia="Calibri"/>
          <w:lang w:eastAsia="en-US"/>
        </w:rPr>
      </w:pPr>
      <w:r w:rsidRPr="000E323E">
        <w:rPr>
          <w:rFonts w:eastAsia="Calibri"/>
          <w:lang w:eastAsia="en-US"/>
        </w:rPr>
        <w:t xml:space="preserve"> Финансовому отделу    Администрации муниципального образования  </w:t>
      </w:r>
      <w:r>
        <w:rPr>
          <w:rFonts w:eastAsia="Calibri"/>
          <w:lang w:eastAsia="en-US"/>
        </w:rPr>
        <w:t>«Верх-</w:t>
      </w:r>
      <w:proofErr w:type="spellStart"/>
      <w:r>
        <w:rPr>
          <w:rFonts w:eastAsia="Calibri"/>
          <w:lang w:eastAsia="en-US"/>
        </w:rPr>
        <w:t>Унинское</w:t>
      </w:r>
      <w:proofErr w:type="gramStart"/>
      <w:r>
        <w:rPr>
          <w:rFonts w:eastAsia="Calibri"/>
          <w:lang w:eastAsia="en-US"/>
        </w:rPr>
        <w:t>»</w:t>
      </w:r>
      <w:r w:rsidRPr="000E323E">
        <w:rPr>
          <w:rFonts w:eastAsia="Calibri"/>
          <w:lang w:eastAsia="en-US"/>
        </w:rPr>
        <w:t>в</w:t>
      </w:r>
      <w:proofErr w:type="spellEnd"/>
      <w:proofErr w:type="gramEnd"/>
      <w:r w:rsidRPr="000E323E">
        <w:rPr>
          <w:rFonts w:eastAsia="Calibri"/>
          <w:lang w:eastAsia="en-US"/>
        </w:rPr>
        <w:t xml:space="preserve"> сроки, установленные законодательством РФ, отразить на счетах бухгалтерского учета соответствующие изменения.</w:t>
      </w:r>
    </w:p>
    <w:p w:rsidR="00B228E5" w:rsidRPr="000E323E" w:rsidRDefault="00B228E5" w:rsidP="00B228E5">
      <w:pPr>
        <w:numPr>
          <w:ilvl w:val="0"/>
          <w:numId w:val="1"/>
        </w:numPr>
        <w:spacing w:after="200" w:line="276" w:lineRule="auto"/>
        <w:contextualSpacing/>
        <w:jc w:val="both"/>
        <w:rPr>
          <w:rFonts w:eastAsia="Calibri"/>
          <w:lang w:eastAsia="en-US"/>
        </w:rPr>
      </w:pPr>
      <w:proofErr w:type="gramStart"/>
      <w:r w:rsidRPr="000E323E">
        <w:rPr>
          <w:rFonts w:eastAsia="Calibri"/>
          <w:lang w:eastAsia="en-US"/>
        </w:rPr>
        <w:t>Контроль за</w:t>
      </w:r>
      <w:proofErr w:type="gramEnd"/>
      <w:r w:rsidRPr="000E323E">
        <w:rPr>
          <w:rFonts w:eastAsia="Calibri"/>
          <w:lang w:eastAsia="en-US"/>
        </w:rPr>
        <w:t xml:space="preserve"> исполнением данного  постановления оставляю за собой.</w:t>
      </w:r>
    </w:p>
    <w:p w:rsidR="00B228E5" w:rsidRPr="000E323E" w:rsidRDefault="00B228E5" w:rsidP="00B228E5">
      <w:pPr>
        <w:spacing w:after="200" w:line="276" w:lineRule="auto"/>
        <w:contextualSpacing/>
        <w:rPr>
          <w:rFonts w:eastAsia="Calibri"/>
          <w:lang w:eastAsia="en-US"/>
        </w:rPr>
      </w:pPr>
    </w:p>
    <w:p w:rsidR="00B228E5" w:rsidRDefault="00B228E5" w:rsidP="00B228E5">
      <w:pPr>
        <w:spacing w:after="200" w:line="276" w:lineRule="auto"/>
        <w:contextualSpacing/>
        <w:rPr>
          <w:rFonts w:eastAsia="Calibri"/>
          <w:lang w:eastAsia="en-US"/>
        </w:rPr>
      </w:pPr>
    </w:p>
    <w:p w:rsidR="00B228E5" w:rsidRDefault="00B228E5" w:rsidP="00B228E5">
      <w:pPr>
        <w:spacing w:after="200" w:line="276" w:lineRule="auto"/>
        <w:contextualSpacing/>
        <w:rPr>
          <w:rFonts w:eastAsia="Calibri"/>
          <w:lang w:eastAsia="en-US"/>
        </w:rPr>
      </w:pPr>
    </w:p>
    <w:p w:rsidR="00B228E5" w:rsidRPr="000E323E" w:rsidRDefault="00B228E5" w:rsidP="00B228E5">
      <w:pPr>
        <w:spacing w:after="200" w:line="276" w:lineRule="auto"/>
        <w:contextualSpacing/>
        <w:rPr>
          <w:rFonts w:eastAsia="Calibri"/>
          <w:lang w:eastAsia="en-US"/>
        </w:rPr>
      </w:pPr>
      <w:r w:rsidRPr="000E323E">
        <w:rPr>
          <w:rFonts w:eastAsia="Calibri"/>
          <w:lang w:eastAsia="en-US"/>
        </w:rPr>
        <w:t xml:space="preserve">Глава муниципального образования </w:t>
      </w:r>
    </w:p>
    <w:p w:rsidR="00B228E5" w:rsidRPr="000E323E" w:rsidRDefault="00B228E5" w:rsidP="00B228E5">
      <w:pPr>
        <w:spacing w:after="200" w:line="276" w:lineRule="auto"/>
        <w:contextualSpacing/>
        <w:rPr>
          <w:rFonts w:ascii="Calibri" w:eastAsia="Calibri" w:hAnsi="Calibri"/>
          <w:lang w:eastAsia="en-US"/>
        </w:rPr>
        <w:sectPr w:rsidR="00B228E5" w:rsidRPr="000E323E">
          <w:headerReference w:type="even" r:id="rId7"/>
          <w:headerReference w:type="default" r:id="rId8"/>
          <w:pgSz w:w="11907" w:h="16840" w:code="9"/>
          <w:pgMar w:top="357" w:right="851" w:bottom="624" w:left="1843" w:header="720" w:footer="720" w:gutter="0"/>
          <w:cols w:space="720"/>
          <w:titlePg/>
        </w:sectPr>
      </w:pPr>
      <w:r w:rsidRPr="000E323E">
        <w:rPr>
          <w:rFonts w:eastAsia="Calibri"/>
          <w:lang w:eastAsia="en-US"/>
        </w:rPr>
        <w:t xml:space="preserve">«Верх-Унинское»                                                                             </w:t>
      </w:r>
      <w:proofErr w:type="spellStart"/>
      <w:r w:rsidRPr="000E323E">
        <w:rPr>
          <w:rFonts w:eastAsia="Calibri"/>
          <w:lang w:eastAsia="en-US"/>
        </w:rPr>
        <w:t>Н.В.Веретенникова</w:t>
      </w:r>
      <w:proofErr w:type="spellEnd"/>
    </w:p>
    <w:p w:rsidR="00B228E5" w:rsidRDefault="00B228E5" w:rsidP="00B228E5">
      <w:pPr>
        <w:shd w:val="clear" w:color="auto" w:fill="FFFFFF"/>
        <w:jc w:val="right"/>
      </w:pPr>
    </w:p>
    <w:p w:rsidR="00B228E5" w:rsidRDefault="00B228E5" w:rsidP="00B228E5">
      <w:pPr>
        <w:shd w:val="clear" w:color="auto" w:fill="FFFFFF"/>
        <w:jc w:val="right"/>
      </w:pPr>
    </w:p>
    <w:p w:rsidR="00B228E5" w:rsidRDefault="00B228E5" w:rsidP="00B228E5">
      <w:pPr>
        <w:shd w:val="clear" w:color="auto" w:fill="FFFFFF"/>
        <w:jc w:val="right"/>
      </w:pPr>
    </w:p>
    <w:p w:rsidR="00B228E5" w:rsidRDefault="00B228E5" w:rsidP="00B228E5">
      <w:pPr>
        <w:shd w:val="clear" w:color="auto" w:fill="FFFFFF"/>
        <w:jc w:val="right"/>
      </w:pPr>
    </w:p>
    <w:p w:rsidR="00B228E5" w:rsidRDefault="00B228E5" w:rsidP="00B228E5">
      <w:pPr>
        <w:shd w:val="clear" w:color="auto" w:fill="FFFFFF"/>
        <w:jc w:val="right"/>
      </w:pPr>
    </w:p>
    <w:p w:rsidR="00B228E5" w:rsidRPr="000E323E" w:rsidRDefault="00B228E5" w:rsidP="00B228E5">
      <w:pPr>
        <w:shd w:val="clear" w:color="auto" w:fill="FFFFFF"/>
        <w:jc w:val="right"/>
      </w:pPr>
      <w:r w:rsidRPr="000E323E">
        <w:t>Приложение № 1</w:t>
      </w:r>
    </w:p>
    <w:p w:rsidR="00B228E5" w:rsidRPr="000E323E" w:rsidRDefault="00B228E5" w:rsidP="00B228E5">
      <w:pPr>
        <w:shd w:val="clear" w:color="auto" w:fill="FFFFFF"/>
        <w:jc w:val="right"/>
      </w:pPr>
      <w:r w:rsidRPr="000E323E">
        <w:t xml:space="preserve">к постановлению Главы </w:t>
      </w:r>
    </w:p>
    <w:p w:rsidR="00B228E5" w:rsidRPr="000E323E" w:rsidRDefault="00B228E5" w:rsidP="00B228E5">
      <w:pPr>
        <w:shd w:val="clear" w:color="auto" w:fill="FFFFFF"/>
        <w:jc w:val="right"/>
      </w:pPr>
      <w:r w:rsidRPr="000E323E">
        <w:t>муниципального образования «Верх-Унинское»</w:t>
      </w:r>
    </w:p>
    <w:p w:rsidR="00B228E5" w:rsidRPr="008F60D9" w:rsidRDefault="00B228E5" w:rsidP="00B228E5">
      <w:pPr>
        <w:keepNext/>
        <w:keepLines/>
        <w:ind w:firstLine="709"/>
        <w:jc w:val="right"/>
        <w:rPr>
          <w:color w:val="000000"/>
        </w:rPr>
      </w:pPr>
      <w:r w:rsidRPr="008F60D9">
        <w:rPr>
          <w:color w:val="000000"/>
        </w:rPr>
        <w:t xml:space="preserve">от </w:t>
      </w:r>
      <w:r>
        <w:rPr>
          <w:color w:val="000000"/>
        </w:rPr>
        <w:t>30.08.2013</w:t>
      </w:r>
      <w:r w:rsidRPr="008F60D9">
        <w:rPr>
          <w:color w:val="000000"/>
        </w:rPr>
        <w:t xml:space="preserve"> г. № </w:t>
      </w:r>
      <w:r>
        <w:rPr>
          <w:color w:val="000000"/>
        </w:rPr>
        <w:t>35</w:t>
      </w:r>
    </w:p>
    <w:p w:rsidR="00B228E5" w:rsidRPr="000E323E" w:rsidRDefault="00B228E5" w:rsidP="00B228E5">
      <w:pPr>
        <w:shd w:val="clear" w:color="auto" w:fill="FFFFFF"/>
        <w:jc w:val="right"/>
      </w:pPr>
    </w:p>
    <w:p w:rsidR="00B228E5" w:rsidRPr="000E323E" w:rsidRDefault="00B228E5" w:rsidP="00B228E5">
      <w:pPr>
        <w:shd w:val="clear" w:color="auto" w:fill="FFFFFF"/>
        <w:jc w:val="right"/>
      </w:pPr>
    </w:p>
    <w:p w:rsidR="00B228E5" w:rsidRPr="000E323E" w:rsidRDefault="00B228E5" w:rsidP="00B228E5">
      <w:pPr>
        <w:shd w:val="clear" w:color="auto" w:fill="FFFFFF"/>
        <w:jc w:val="right"/>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2160"/>
        <w:gridCol w:w="900"/>
        <w:gridCol w:w="900"/>
        <w:gridCol w:w="1260"/>
        <w:gridCol w:w="1323"/>
        <w:gridCol w:w="1377"/>
        <w:gridCol w:w="1620"/>
      </w:tblGrid>
      <w:tr w:rsidR="00B228E5" w:rsidRPr="000E323E" w:rsidTr="004B2390">
        <w:tc>
          <w:tcPr>
            <w:tcW w:w="900" w:type="dxa"/>
            <w:shd w:val="clear" w:color="auto" w:fill="auto"/>
          </w:tcPr>
          <w:p w:rsidR="00B228E5" w:rsidRPr="000E323E" w:rsidRDefault="00B228E5" w:rsidP="004B2390">
            <w:pPr>
              <w:jc w:val="center"/>
            </w:pPr>
            <w:r w:rsidRPr="000E323E">
              <w:t>№</w:t>
            </w:r>
          </w:p>
          <w:p w:rsidR="00B228E5" w:rsidRPr="000E323E" w:rsidRDefault="00B228E5" w:rsidP="004B2390">
            <w:pPr>
              <w:jc w:val="center"/>
            </w:pPr>
            <w:proofErr w:type="gramStart"/>
            <w:r w:rsidRPr="000E323E">
              <w:t>п</w:t>
            </w:r>
            <w:proofErr w:type="gramEnd"/>
            <w:r w:rsidRPr="000E323E">
              <w:t>/п</w:t>
            </w:r>
          </w:p>
        </w:tc>
        <w:tc>
          <w:tcPr>
            <w:tcW w:w="2160" w:type="dxa"/>
            <w:shd w:val="clear" w:color="auto" w:fill="auto"/>
          </w:tcPr>
          <w:p w:rsidR="00B228E5" w:rsidRPr="000E323E" w:rsidRDefault="00B228E5" w:rsidP="004B2390">
            <w:pPr>
              <w:jc w:val="center"/>
            </w:pPr>
            <w:r w:rsidRPr="000E323E">
              <w:t>Наименование имущества</w:t>
            </w:r>
          </w:p>
        </w:tc>
        <w:tc>
          <w:tcPr>
            <w:tcW w:w="900" w:type="dxa"/>
            <w:shd w:val="clear" w:color="auto" w:fill="auto"/>
          </w:tcPr>
          <w:p w:rsidR="00B228E5" w:rsidRPr="000E323E" w:rsidRDefault="00B228E5" w:rsidP="004B2390">
            <w:pPr>
              <w:jc w:val="center"/>
            </w:pPr>
            <w:r w:rsidRPr="000E323E">
              <w:t>Год выпуска</w:t>
            </w:r>
          </w:p>
        </w:tc>
        <w:tc>
          <w:tcPr>
            <w:tcW w:w="900" w:type="dxa"/>
            <w:shd w:val="clear" w:color="auto" w:fill="auto"/>
          </w:tcPr>
          <w:p w:rsidR="00B228E5" w:rsidRPr="000E323E" w:rsidRDefault="00B228E5" w:rsidP="004B2390">
            <w:pPr>
              <w:jc w:val="center"/>
            </w:pPr>
            <w:r w:rsidRPr="000E323E">
              <w:t>Количество, ед.</w:t>
            </w:r>
          </w:p>
        </w:tc>
        <w:tc>
          <w:tcPr>
            <w:tcW w:w="1260" w:type="dxa"/>
            <w:shd w:val="clear" w:color="auto" w:fill="auto"/>
          </w:tcPr>
          <w:p w:rsidR="00B228E5" w:rsidRPr="000E323E" w:rsidRDefault="00B228E5" w:rsidP="004B2390">
            <w:pPr>
              <w:jc w:val="center"/>
            </w:pPr>
            <w:r w:rsidRPr="000E323E">
              <w:t>Цена за единицу, руб.</w:t>
            </w:r>
          </w:p>
        </w:tc>
        <w:tc>
          <w:tcPr>
            <w:tcW w:w="1323" w:type="dxa"/>
            <w:shd w:val="clear" w:color="auto" w:fill="auto"/>
          </w:tcPr>
          <w:p w:rsidR="00B228E5" w:rsidRPr="000E323E" w:rsidRDefault="00B228E5" w:rsidP="004B2390">
            <w:pPr>
              <w:jc w:val="center"/>
            </w:pPr>
            <w:r w:rsidRPr="000E323E">
              <w:t>Сумма, руб.</w:t>
            </w:r>
          </w:p>
        </w:tc>
        <w:tc>
          <w:tcPr>
            <w:tcW w:w="1377" w:type="dxa"/>
            <w:shd w:val="clear" w:color="auto" w:fill="auto"/>
          </w:tcPr>
          <w:p w:rsidR="00B228E5" w:rsidRPr="000E323E" w:rsidRDefault="00B228E5" w:rsidP="004B2390">
            <w:pPr>
              <w:jc w:val="center"/>
            </w:pPr>
            <w:r w:rsidRPr="000E323E">
              <w:t xml:space="preserve">Сумма </w:t>
            </w:r>
            <w:proofErr w:type="spellStart"/>
            <w:proofErr w:type="gramStart"/>
            <w:r w:rsidRPr="000E323E">
              <w:t>амортиза</w:t>
            </w:r>
            <w:r>
              <w:t>-</w:t>
            </w:r>
            <w:r w:rsidRPr="000E323E">
              <w:t>ции</w:t>
            </w:r>
            <w:proofErr w:type="spellEnd"/>
            <w:proofErr w:type="gramEnd"/>
            <w:r w:rsidRPr="000E323E">
              <w:t xml:space="preserve"> на 01.02.2013 г.</w:t>
            </w:r>
          </w:p>
        </w:tc>
        <w:tc>
          <w:tcPr>
            <w:tcW w:w="1620" w:type="dxa"/>
            <w:shd w:val="clear" w:color="auto" w:fill="auto"/>
          </w:tcPr>
          <w:p w:rsidR="00B228E5" w:rsidRPr="000E323E" w:rsidRDefault="00B228E5" w:rsidP="004B2390">
            <w:pPr>
              <w:jc w:val="center"/>
            </w:pPr>
            <w:r w:rsidRPr="000E323E">
              <w:t>Остаточная балансовая стоимость,</w:t>
            </w:r>
            <w:r w:rsidRPr="000E323E">
              <w:rPr>
                <w:lang w:val="en-US"/>
              </w:rPr>
              <w:t xml:space="preserve"> </w:t>
            </w:r>
            <w:r w:rsidRPr="000E323E">
              <w:t>руб.</w:t>
            </w:r>
          </w:p>
        </w:tc>
      </w:tr>
      <w:tr w:rsidR="00B228E5" w:rsidRPr="000E323E" w:rsidTr="004B2390">
        <w:trPr>
          <w:trHeight w:val="1533"/>
        </w:trPr>
        <w:tc>
          <w:tcPr>
            <w:tcW w:w="900" w:type="dxa"/>
            <w:shd w:val="clear" w:color="auto" w:fill="auto"/>
          </w:tcPr>
          <w:p w:rsidR="00B228E5" w:rsidRPr="000E323E" w:rsidRDefault="00B228E5" w:rsidP="004B2390">
            <w:pPr>
              <w:jc w:val="right"/>
            </w:pPr>
            <w:r w:rsidRPr="000E323E">
              <w:t>1.</w:t>
            </w:r>
          </w:p>
        </w:tc>
        <w:tc>
          <w:tcPr>
            <w:tcW w:w="2160" w:type="dxa"/>
            <w:shd w:val="clear" w:color="auto" w:fill="auto"/>
          </w:tcPr>
          <w:p w:rsidR="00B228E5" w:rsidRPr="000E323E" w:rsidRDefault="00B228E5" w:rsidP="004B2390">
            <w:pPr>
              <w:ind w:hanging="108"/>
              <w:jc w:val="both"/>
            </w:pPr>
            <w:r w:rsidRPr="000E323E">
              <w:t xml:space="preserve">Компьютер, в том числе Монитор товарного знака АОС/Системный блок товарного знака </w:t>
            </w:r>
            <w:proofErr w:type="spellStart"/>
            <w:r w:rsidRPr="000E323E">
              <w:rPr>
                <w:lang w:val="en-US"/>
              </w:rPr>
              <w:t>Crona</w:t>
            </w:r>
            <w:proofErr w:type="spellEnd"/>
            <w:r w:rsidRPr="000E323E">
              <w:t>/ Предустановленное программное обеспечение</w:t>
            </w:r>
          </w:p>
        </w:tc>
        <w:tc>
          <w:tcPr>
            <w:tcW w:w="900" w:type="dxa"/>
            <w:shd w:val="clear" w:color="auto" w:fill="auto"/>
          </w:tcPr>
          <w:p w:rsidR="00B228E5" w:rsidRPr="000E323E" w:rsidRDefault="00B228E5" w:rsidP="004B2390">
            <w:pPr>
              <w:jc w:val="center"/>
            </w:pPr>
            <w:r w:rsidRPr="000E323E">
              <w:t>2013</w:t>
            </w:r>
          </w:p>
        </w:tc>
        <w:tc>
          <w:tcPr>
            <w:tcW w:w="900" w:type="dxa"/>
            <w:shd w:val="clear" w:color="auto" w:fill="auto"/>
          </w:tcPr>
          <w:p w:rsidR="00B228E5" w:rsidRPr="000E323E" w:rsidRDefault="00B228E5" w:rsidP="004B2390">
            <w:pPr>
              <w:jc w:val="center"/>
              <w:rPr>
                <w:lang w:val="en-US"/>
              </w:rPr>
            </w:pPr>
            <w:r w:rsidRPr="000E323E">
              <w:rPr>
                <w:lang w:val="en-US"/>
              </w:rPr>
              <w:t>1</w:t>
            </w:r>
          </w:p>
        </w:tc>
        <w:tc>
          <w:tcPr>
            <w:tcW w:w="1260" w:type="dxa"/>
            <w:shd w:val="clear" w:color="auto" w:fill="auto"/>
          </w:tcPr>
          <w:p w:rsidR="00B228E5" w:rsidRPr="000E323E" w:rsidRDefault="00B228E5" w:rsidP="004B2390">
            <w:pPr>
              <w:jc w:val="center"/>
            </w:pPr>
            <w:r w:rsidRPr="000E323E">
              <w:t>24080,00</w:t>
            </w:r>
          </w:p>
        </w:tc>
        <w:tc>
          <w:tcPr>
            <w:tcW w:w="1323" w:type="dxa"/>
            <w:shd w:val="clear" w:color="auto" w:fill="auto"/>
          </w:tcPr>
          <w:p w:rsidR="00B228E5" w:rsidRPr="000E323E" w:rsidRDefault="00B228E5" w:rsidP="004B2390">
            <w:pPr>
              <w:jc w:val="center"/>
              <w:rPr>
                <w:lang w:val="en-US"/>
              </w:rPr>
            </w:pPr>
            <w:r w:rsidRPr="000E323E">
              <w:rPr>
                <w:lang w:val="en-US"/>
              </w:rPr>
              <w:t>24080,00</w:t>
            </w:r>
          </w:p>
        </w:tc>
        <w:tc>
          <w:tcPr>
            <w:tcW w:w="1377" w:type="dxa"/>
            <w:shd w:val="clear" w:color="auto" w:fill="auto"/>
          </w:tcPr>
          <w:p w:rsidR="00B228E5" w:rsidRPr="000E323E" w:rsidRDefault="00B228E5" w:rsidP="004B2390">
            <w:pPr>
              <w:jc w:val="center"/>
              <w:rPr>
                <w:lang w:val="en-US"/>
              </w:rPr>
            </w:pPr>
            <w:r w:rsidRPr="000E323E">
              <w:rPr>
                <w:lang w:val="en-US"/>
              </w:rPr>
              <w:t>0,00</w:t>
            </w:r>
          </w:p>
        </w:tc>
        <w:tc>
          <w:tcPr>
            <w:tcW w:w="1620" w:type="dxa"/>
            <w:shd w:val="clear" w:color="auto" w:fill="auto"/>
          </w:tcPr>
          <w:p w:rsidR="00B228E5" w:rsidRPr="000E323E" w:rsidRDefault="00B228E5" w:rsidP="004B2390">
            <w:pPr>
              <w:jc w:val="center"/>
              <w:rPr>
                <w:lang w:val="en-US"/>
              </w:rPr>
            </w:pPr>
            <w:r w:rsidRPr="000E323E">
              <w:rPr>
                <w:lang w:val="en-US"/>
              </w:rPr>
              <w:t>24080,00</w:t>
            </w:r>
          </w:p>
        </w:tc>
      </w:tr>
      <w:tr w:rsidR="00B228E5" w:rsidRPr="000E323E" w:rsidTr="004B2390">
        <w:tc>
          <w:tcPr>
            <w:tcW w:w="900" w:type="dxa"/>
            <w:shd w:val="clear" w:color="auto" w:fill="auto"/>
          </w:tcPr>
          <w:p w:rsidR="00B228E5" w:rsidRPr="000E323E" w:rsidRDefault="00B228E5" w:rsidP="004B2390">
            <w:pPr>
              <w:jc w:val="right"/>
            </w:pPr>
            <w:r w:rsidRPr="000E323E">
              <w:t>2.</w:t>
            </w:r>
          </w:p>
        </w:tc>
        <w:tc>
          <w:tcPr>
            <w:tcW w:w="2160" w:type="dxa"/>
            <w:shd w:val="clear" w:color="auto" w:fill="auto"/>
          </w:tcPr>
          <w:p w:rsidR="00B228E5" w:rsidRPr="000E323E" w:rsidRDefault="00B228E5" w:rsidP="004B2390">
            <w:pPr>
              <w:ind w:hanging="108"/>
              <w:jc w:val="both"/>
            </w:pPr>
            <w:r w:rsidRPr="000E323E">
              <w:t xml:space="preserve">Многофункциональное устройство </w:t>
            </w:r>
            <w:r w:rsidRPr="000E323E">
              <w:rPr>
                <w:lang w:val="en-US"/>
              </w:rPr>
              <w:t>HP</w:t>
            </w:r>
            <w:r w:rsidRPr="000E323E">
              <w:t xml:space="preserve"> </w:t>
            </w:r>
            <w:r w:rsidRPr="000E323E">
              <w:rPr>
                <w:lang w:val="en-US"/>
              </w:rPr>
              <w:t>Laser</w:t>
            </w:r>
            <w:r w:rsidRPr="000E323E">
              <w:t xml:space="preserve"> </w:t>
            </w:r>
            <w:r w:rsidRPr="000E323E">
              <w:rPr>
                <w:lang w:val="en-US"/>
              </w:rPr>
              <w:t>Pro</w:t>
            </w:r>
            <w:r w:rsidRPr="000E323E">
              <w:t xml:space="preserve"> </w:t>
            </w:r>
            <w:r w:rsidRPr="000E323E">
              <w:rPr>
                <w:lang w:val="en-US"/>
              </w:rPr>
              <w:t>M</w:t>
            </w:r>
            <w:r w:rsidRPr="000E323E">
              <w:t>1536</w:t>
            </w:r>
            <w:proofErr w:type="spellStart"/>
            <w:r w:rsidRPr="000E323E">
              <w:rPr>
                <w:lang w:val="en-US"/>
              </w:rPr>
              <w:t>dnf</w:t>
            </w:r>
            <w:proofErr w:type="spellEnd"/>
          </w:p>
        </w:tc>
        <w:tc>
          <w:tcPr>
            <w:tcW w:w="900" w:type="dxa"/>
            <w:shd w:val="clear" w:color="auto" w:fill="auto"/>
          </w:tcPr>
          <w:p w:rsidR="00B228E5" w:rsidRPr="000E323E" w:rsidRDefault="00B228E5" w:rsidP="004B2390">
            <w:pPr>
              <w:jc w:val="center"/>
              <w:rPr>
                <w:lang w:val="en-US"/>
              </w:rPr>
            </w:pPr>
            <w:r w:rsidRPr="000E323E">
              <w:rPr>
                <w:lang w:val="en-US"/>
              </w:rPr>
              <w:t>2013</w:t>
            </w:r>
          </w:p>
        </w:tc>
        <w:tc>
          <w:tcPr>
            <w:tcW w:w="900" w:type="dxa"/>
            <w:shd w:val="clear" w:color="auto" w:fill="auto"/>
          </w:tcPr>
          <w:p w:rsidR="00B228E5" w:rsidRPr="000E323E" w:rsidRDefault="00B228E5" w:rsidP="004B2390">
            <w:pPr>
              <w:jc w:val="center"/>
              <w:rPr>
                <w:lang w:val="en-US"/>
              </w:rPr>
            </w:pPr>
            <w:r w:rsidRPr="000E323E">
              <w:rPr>
                <w:lang w:val="en-US"/>
              </w:rPr>
              <w:t>1</w:t>
            </w:r>
          </w:p>
        </w:tc>
        <w:tc>
          <w:tcPr>
            <w:tcW w:w="1260" w:type="dxa"/>
            <w:shd w:val="clear" w:color="auto" w:fill="auto"/>
          </w:tcPr>
          <w:p w:rsidR="00B228E5" w:rsidRPr="000E323E" w:rsidRDefault="00B228E5" w:rsidP="004B2390">
            <w:pPr>
              <w:jc w:val="center"/>
            </w:pPr>
            <w:r w:rsidRPr="000E323E">
              <w:rPr>
                <w:lang w:val="en-US"/>
              </w:rPr>
              <w:t>8266,50</w:t>
            </w:r>
          </w:p>
        </w:tc>
        <w:tc>
          <w:tcPr>
            <w:tcW w:w="1323" w:type="dxa"/>
            <w:shd w:val="clear" w:color="auto" w:fill="auto"/>
          </w:tcPr>
          <w:p w:rsidR="00B228E5" w:rsidRPr="000E323E" w:rsidRDefault="00B228E5" w:rsidP="004B2390">
            <w:pPr>
              <w:jc w:val="center"/>
            </w:pPr>
            <w:r w:rsidRPr="000E323E">
              <w:t>8266,50</w:t>
            </w:r>
          </w:p>
        </w:tc>
        <w:tc>
          <w:tcPr>
            <w:tcW w:w="1377" w:type="dxa"/>
            <w:shd w:val="clear" w:color="auto" w:fill="auto"/>
          </w:tcPr>
          <w:p w:rsidR="00B228E5" w:rsidRPr="000E323E" w:rsidRDefault="00B228E5" w:rsidP="004B2390">
            <w:pPr>
              <w:jc w:val="center"/>
            </w:pPr>
            <w:r w:rsidRPr="000E323E">
              <w:t>0,00</w:t>
            </w:r>
          </w:p>
        </w:tc>
        <w:tc>
          <w:tcPr>
            <w:tcW w:w="1620" w:type="dxa"/>
            <w:shd w:val="clear" w:color="auto" w:fill="auto"/>
          </w:tcPr>
          <w:p w:rsidR="00B228E5" w:rsidRPr="000E323E" w:rsidRDefault="00B228E5" w:rsidP="004B2390">
            <w:pPr>
              <w:jc w:val="center"/>
            </w:pPr>
            <w:r w:rsidRPr="000E323E">
              <w:t>8266,50</w:t>
            </w:r>
          </w:p>
        </w:tc>
      </w:tr>
      <w:tr w:rsidR="00B228E5" w:rsidRPr="000E323E" w:rsidTr="004B2390">
        <w:tc>
          <w:tcPr>
            <w:tcW w:w="900" w:type="dxa"/>
            <w:shd w:val="clear" w:color="auto" w:fill="auto"/>
          </w:tcPr>
          <w:p w:rsidR="00B228E5" w:rsidRPr="000E323E" w:rsidRDefault="00B228E5" w:rsidP="004B2390">
            <w:pPr>
              <w:jc w:val="right"/>
            </w:pPr>
          </w:p>
        </w:tc>
        <w:tc>
          <w:tcPr>
            <w:tcW w:w="2160" w:type="dxa"/>
            <w:shd w:val="clear" w:color="auto" w:fill="auto"/>
          </w:tcPr>
          <w:p w:rsidR="00B228E5" w:rsidRPr="000E323E" w:rsidRDefault="00B228E5" w:rsidP="004B2390">
            <w:pPr>
              <w:ind w:hanging="108"/>
              <w:jc w:val="both"/>
            </w:pPr>
            <w:r w:rsidRPr="000E323E">
              <w:t>Итого:</w:t>
            </w:r>
          </w:p>
        </w:tc>
        <w:tc>
          <w:tcPr>
            <w:tcW w:w="900" w:type="dxa"/>
            <w:shd w:val="clear" w:color="auto" w:fill="auto"/>
          </w:tcPr>
          <w:p w:rsidR="00B228E5" w:rsidRPr="000E323E" w:rsidRDefault="00B228E5" w:rsidP="004B2390">
            <w:pPr>
              <w:jc w:val="both"/>
            </w:pPr>
          </w:p>
        </w:tc>
        <w:tc>
          <w:tcPr>
            <w:tcW w:w="900" w:type="dxa"/>
            <w:shd w:val="clear" w:color="auto" w:fill="auto"/>
          </w:tcPr>
          <w:p w:rsidR="00B228E5" w:rsidRPr="000E323E" w:rsidRDefault="00B228E5" w:rsidP="004B2390">
            <w:pPr>
              <w:jc w:val="center"/>
            </w:pPr>
            <w:r w:rsidRPr="000E323E">
              <w:t>2</w:t>
            </w:r>
          </w:p>
        </w:tc>
        <w:tc>
          <w:tcPr>
            <w:tcW w:w="1260" w:type="dxa"/>
            <w:shd w:val="clear" w:color="auto" w:fill="auto"/>
          </w:tcPr>
          <w:p w:rsidR="00B228E5" w:rsidRPr="000E323E" w:rsidRDefault="00B228E5" w:rsidP="004B2390">
            <w:pPr>
              <w:jc w:val="center"/>
            </w:pPr>
            <w:r w:rsidRPr="000E323E">
              <w:t>32346,50</w:t>
            </w:r>
          </w:p>
        </w:tc>
        <w:tc>
          <w:tcPr>
            <w:tcW w:w="1323" w:type="dxa"/>
            <w:shd w:val="clear" w:color="auto" w:fill="auto"/>
          </w:tcPr>
          <w:p w:rsidR="00B228E5" w:rsidRPr="000E323E" w:rsidRDefault="00B228E5" w:rsidP="004B2390">
            <w:pPr>
              <w:jc w:val="center"/>
            </w:pPr>
            <w:r w:rsidRPr="000E323E">
              <w:t>32346,50</w:t>
            </w:r>
          </w:p>
        </w:tc>
        <w:tc>
          <w:tcPr>
            <w:tcW w:w="1377" w:type="dxa"/>
            <w:shd w:val="clear" w:color="auto" w:fill="auto"/>
          </w:tcPr>
          <w:p w:rsidR="00B228E5" w:rsidRPr="000E323E" w:rsidRDefault="00B228E5" w:rsidP="004B2390">
            <w:pPr>
              <w:jc w:val="center"/>
            </w:pPr>
            <w:r w:rsidRPr="000E323E">
              <w:t>0,00</w:t>
            </w:r>
          </w:p>
        </w:tc>
        <w:tc>
          <w:tcPr>
            <w:tcW w:w="1620" w:type="dxa"/>
            <w:shd w:val="clear" w:color="auto" w:fill="auto"/>
          </w:tcPr>
          <w:p w:rsidR="00B228E5" w:rsidRPr="000E323E" w:rsidRDefault="00B228E5" w:rsidP="004B2390">
            <w:pPr>
              <w:jc w:val="center"/>
            </w:pPr>
            <w:r w:rsidRPr="000E323E">
              <w:t>32346,50</w:t>
            </w:r>
          </w:p>
        </w:tc>
      </w:tr>
    </w:tbl>
    <w:p w:rsidR="00B228E5" w:rsidRDefault="00B228E5" w:rsidP="00B228E5">
      <w:pPr>
        <w:shd w:val="clear" w:color="auto" w:fill="FFFFFF"/>
        <w:autoSpaceDE w:val="0"/>
        <w:autoSpaceDN w:val="0"/>
        <w:adjustRightInd w:val="0"/>
      </w:pPr>
    </w:p>
    <w:p w:rsidR="00B228E5" w:rsidRDefault="00B228E5" w:rsidP="00B228E5">
      <w:pPr>
        <w:shd w:val="clear" w:color="auto" w:fill="FFFFFF"/>
        <w:autoSpaceDE w:val="0"/>
        <w:autoSpaceDN w:val="0"/>
        <w:adjustRightInd w:val="0"/>
      </w:pPr>
    </w:p>
    <w:p w:rsidR="00B228E5" w:rsidRDefault="00B228E5" w:rsidP="00B228E5">
      <w:pPr>
        <w:shd w:val="clear" w:color="auto" w:fill="FFFFFF"/>
        <w:autoSpaceDE w:val="0"/>
        <w:autoSpaceDN w:val="0"/>
        <w:adjustRightInd w:val="0"/>
      </w:pPr>
    </w:p>
    <w:p w:rsidR="00FE60FF" w:rsidRDefault="00FE60FF">
      <w:bookmarkStart w:id="0" w:name="_GoBack"/>
      <w:bookmarkEnd w:id="0"/>
    </w:p>
    <w:sectPr w:rsidR="00FE60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7C2" w:rsidRDefault="00B228E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B47C2" w:rsidRDefault="00B228E5">
    <w:pPr>
      <w:pStyle w:val="a3"/>
      <w:ind w:right="360"/>
    </w:pPr>
  </w:p>
  <w:p w:rsidR="00AB47C2" w:rsidRDefault="00B228E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7C2" w:rsidRPr="00D142C0" w:rsidRDefault="00B228E5" w:rsidP="00D142C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036AF1"/>
    <w:multiLevelType w:val="hybridMultilevel"/>
    <w:tmpl w:val="F30830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8E5"/>
    <w:rsid w:val="00B228E5"/>
    <w:rsid w:val="00FE60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8E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Верхний колонтитул Знак1"/>
    <w:aliases w:val="Верхний колонтитул Знак1 Знак Знак,Верхний колонтитул Знак Знак Знак1 Знак,Верхний колонтитул Знак1 Знак Знак Знак Знак,Верхний колонтитул Знак Знак Знак1 Знак Знак Знак,Верхний колонтитул Знак1 Знак Знак Знак Знак Знак Знак"/>
    <w:link w:val="a3"/>
    <w:rsid w:val="00B228E5"/>
    <w:rPr>
      <w:sz w:val="24"/>
      <w:szCs w:val="24"/>
      <w:lang w:eastAsia="ru-RU"/>
    </w:rPr>
  </w:style>
  <w:style w:type="paragraph" w:styleId="a3">
    <w:name w:val="header"/>
    <w:aliases w:val="Верхний колонтитул Знак1 Знак,Верхний колонтитул Знак Знак Знак1,Верхний колонтитул Знак1 Знак Знак Знак,Верхний колонтитул Знак Знак Знак1 Знак Знак,Верхний колонтитул Знак1 Знак Знак Знак Знак Знак, Знак1"/>
    <w:basedOn w:val="a"/>
    <w:link w:val="1"/>
    <w:rsid w:val="00B228E5"/>
    <w:pPr>
      <w:tabs>
        <w:tab w:val="center" w:pos="4536"/>
        <w:tab w:val="right" w:pos="9072"/>
      </w:tabs>
    </w:pPr>
    <w:rPr>
      <w:rFonts w:asciiTheme="minorHAnsi" w:eastAsiaTheme="minorHAnsi" w:hAnsiTheme="minorHAnsi" w:cstheme="minorBidi"/>
    </w:rPr>
  </w:style>
  <w:style w:type="character" w:customStyle="1" w:styleId="a4">
    <w:name w:val="Верхний колонтитул Знак"/>
    <w:basedOn w:val="a0"/>
    <w:uiPriority w:val="99"/>
    <w:semiHidden/>
    <w:rsid w:val="00B228E5"/>
    <w:rPr>
      <w:rFonts w:ascii="Times New Roman" w:eastAsia="Times New Roman" w:hAnsi="Times New Roman" w:cs="Times New Roman"/>
      <w:sz w:val="24"/>
      <w:szCs w:val="24"/>
      <w:lang w:eastAsia="ru-RU"/>
    </w:rPr>
  </w:style>
  <w:style w:type="paragraph" w:customStyle="1" w:styleId="2">
    <w:name w:val="Знак Знак Знак2 Знак Знак Знак"/>
    <w:basedOn w:val="a"/>
    <w:rsid w:val="00B228E5"/>
    <w:pPr>
      <w:widowControl w:val="0"/>
      <w:adjustRightInd w:val="0"/>
      <w:spacing w:after="160" w:line="240" w:lineRule="exact"/>
      <w:jc w:val="right"/>
    </w:pPr>
    <w:rPr>
      <w:sz w:val="20"/>
      <w:szCs w:val="20"/>
      <w:lang w:val="en-GB" w:eastAsia="en-US"/>
    </w:rPr>
  </w:style>
  <w:style w:type="character" w:styleId="a5">
    <w:name w:val="page number"/>
    <w:basedOn w:val="a0"/>
    <w:rsid w:val="00B228E5"/>
  </w:style>
  <w:style w:type="paragraph" w:styleId="a6">
    <w:name w:val="Balloon Text"/>
    <w:basedOn w:val="a"/>
    <w:link w:val="a7"/>
    <w:uiPriority w:val="99"/>
    <w:semiHidden/>
    <w:unhideWhenUsed/>
    <w:rsid w:val="00B228E5"/>
    <w:rPr>
      <w:rFonts w:ascii="Tahoma" w:hAnsi="Tahoma" w:cs="Tahoma"/>
      <w:sz w:val="16"/>
      <w:szCs w:val="16"/>
    </w:rPr>
  </w:style>
  <w:style w:type="character" w:customStyle="1" w:styleId="a7">
    <w:name w:val="Текст выноски Знак"/>
    <w:basedOn w:val="a0"/>
    <w:link w:val="a6"/>
    <w:uiPriority w:val="99"/>
    <w:semiHidden/>
    <w:rsid w:val="00B228E5"/>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8E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Верхний колонтитул Знак1"/>
    <w:aliases w:val="Верхний колонтитул Знак1 Знак Знак,Верхний колонтитул Знак Знак Знак1 Знак,Верхний колонтитул Знак1 Знак Знак Знак Знак,Верхний колонтитул Знак Знак Знак1 Знак Знак Знак,Верхний колонтитул Знак1 Знак Знак Знак Знак Знак Знак"/>
    <w:link w:val="a3"/>
    <w:rsid w:val="00B228E5"/>
    <w:rPr>
      <w:sz w:val="24"/>
      <w:szCs w:val="24"/>
      <w:lang w:eastAsia="ru-RU"/>
    </w:rPr>
  </w:style>
  <w:style w:type="paragraph" w:styleId="a3">
    <w:name w:val="header"/>
    <w:aliases w:val="Верхний колонтитул Знак1 Знак,Верхний колонтитул Знак Знак Знак1,Верхний колонтитул Знак1 Знак Знак Знак,Верхний колонтитул Знак Знак Знак1 Знак Знак,Верхний колонтитул Знак1 Знак Знак Знак Знак Знак, Знак1"/>
    <w:basedOn w:val="a"/>
    <w:link w:val="1"/>
    <w:rsid w:val="00B228E5"/>
    <w:pPr>
      <w:tabs>
        <w:tab w:val="center" w:pos="4536"/>
        <w:tab w:val="right" w:pos="9072"/>
      </w:tabs>
    </w:pPr>
    <w:rPr>
      <w:rFonts w:asciiTheme="minorHAnsi" w:eastAsiaTheme="minorHAnsi" w:hAnsiTheme="minorHAnsi" w:cstheme="minorBidi"/>
    </w:rPr>
  </w:style>
  <w:style w:type="character" w:customStyle="1" w:styleId="a4">
    <w:name w:val="Верхний колонтитул Знак"/>
    <w:basedOn w:val="a0"/>
    <w:uiPriority w:val="99"/>
    <w:semiHidden/>
    <w:rsid w:val="00B228E5"/>
    <w:rPr>
      <w:rFonts w:ascii="Times New Roman" w:eastAsia="Times New Roman" w:hAnsi="Times New Roman" w:cs="Times New Roman"/>
      <w:sz w:val="24"/>
      <w:szCs w:val="24"/>
      <w:lang w:eastAsia="ru-RU"/>
    </w:rPr>
  </w:style>
  <w:style w:type="paragraph" w:customStyle="1" w:styleId="2">
    <w:name w:val="Знак Знак Знак2 Знак Знак Знак"/>
    <w:basedOn w:val="a"/>
    <w:rsid w:val="00B228E5"/>
    <w:pPr>
      <w:widowControl w:val="0"/>
      <w:adjustRightInd w:val="0"/>
      <w:spacing w:after="160" w:line="240" w:lineRule="exact"/>
      <w:jc w:val="right"/>
    </w:pPr>
    <w:rPr>
      <w:sz w:val="20"/>
      <w:szCs w:val="20"/>
      <w:lang w:val="en-GB" w:eastAsia="en-US"/>
    </w:rPr>
  </w:style>
  <w:style w:type="character" w:styleId="a5">
    <w:name w:val="page number"/>
    <w:basedOn w:val="a0"/>
    <w:rsid w:val="00B228E5"/>
  </w:style>
  <w:style w:type="paragraph" w:styleId="a6">
    <w:name w:val="Balloon Text"/>
    <w:basedOn w:val="a"/>
    <w:link w:val="a7"/>
    <w:uiPriority w:val="99"/>
    <w:semiHidden/>
    <w:unhideWhenUsed/>
    <w:rsid w:val="00B228E5"/>
    <w:rPr>
      <w:rFonts w:ascii="Tahoma" w:hAnsi="Tahoma" w:cs="Tahoma"/>
      <w:sz w:val="16"/>
      <w:szCs w:val="16"/>
    </w:rPr>
  </w:style>
  <w:style w:type="character" w:customStyle="1" w:styleId="a7">
    <w:name w:val="Текст выноски Знак"/>
    <w:basedOn w:val="a0"/>
    <w:link w:val="a6"/>
    <w:uiPriority w:val="99"/>
    <w:semiHidden/>
    <w:rsid w:val="00B228E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340</Words>
  <Characters>1939</Characters>
  <Application>Microsoft Office Word</Application>
  <DocSecurity>0</DocSecurity>
  <Lines>16</Lines>
  <Paragraphs>4</Paragraphs>
  <ScaleCrop>false</ScaleCrop>
  <Company/>
  <LinksUpToDate>false</LinksUpToDate>
  <CharactersWithSpaces>2275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2014-08-27T16:57:00Z</dcterms:created>
  <dcterms:modified xsi:type="dcterms:W3CDTF">2014-08-27T16:57:00Z</dcterms:modified>
</cp:coreProperties>
</file>